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40"/>
      </w:pPr>
      <w:r>
        <w:drawing>
          <wp:inline xmlns:a="http://schemas.openxmlformats.org/drawingml/2006/main" xmlns:pic="http://schemas.openxmlformats.org/drawingml/2006/picture">
            <wp:extent cx="1920240" cy="3602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3602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520"/>
      </w:pPr>
      <w:r>
        <w:t>Posicionamento e arquitetura comercial Salestrack</w:t>
      </w:r>
    </w:p>
    <w:p>
      <w:r>
        <w:t>Diretrizes de marca ofertas e contratação</w:t>
      </w:r>
    </w:p>
    <w:p>
      <w:r>
        <w:t>Atualização de 24 de setembro de 2026</w:t>
      </w:r>
    </w:p>
    <w:p>
      <w:pPr>
        <w:spacing w:before="240" w:after="280"/>
      </w:pPr>
      <w:r>
        <w:rPr>
          <w:rFonts w:ascii="Bitstream Charter" w:hAnsi="Bitstream Charter"/>
          <w:b/>
          <w:i/>
          <w:color w:val="5A3BE7"/>
          <w:sz w:val="32"/>
        </w:rPr>
        <w:t>Ajudamos sua empresa a gerar mais resultados com transformação digital e IA.</w:t>
      </w:r>
    </w:p>
    <w:p>
      <w:r>
        <w:t>A Salestrack se posiciona como Transformação Digital e IA para Empresas. Este documento orienta o website, as propostas e a comunicação da marca, mantendo uma promessa central e diferentes formas de apoio ao cliente.</w:t>
      </w:r>
    </w:p>
    <w:p>
      <w:pPr>
        <w:pStyle w:val="Heading2"/>
      </w:pPr>
      <w:r>
        <w:t>Decisão principal</w:t>
      </w:r>
    </w:p>
    <w:p>
      <w:r>
        <w:t>O acompanhamento contínuo com consultor e canais digitais passa a ser uma opção de contratação. Diagnóstico, projeto, mentoria, treinamentos, palestras e workshops podem ser contratados de forma independente, sem adesão obrigatória a uma assinatura.</w:t>
      </w:r>
    </w:p>
    <w:p>
      <w:r>
        <w:t>As soluções mostram o que resolvemos. As modalidades mostram como o cliente contrata. O roadmap organiza a combinação, a sequência e as responsabilidades quando existe um projeto de transformação.</w:t>
      </w:r>
    </w:p>
    <w:p>
      <w:pPr>
        <w:pStyle w:val="Heading1"/>
        <w:pageBreakBefore/>
      </w:pPr>
      <w:r>
        <w:t>Posicionamento e público prioritário</w:t>
      </w:r>
    </w:p>
    <w:p>
      <w:pPr>
        <w:pStyle w:val="Heading2"/>
      </w:pPr>
      <w:r>
        <w:t>Categoria e proposta de valor</w:t>
      </w:r>
    </w:p>
    <w:p>
      <w:r>
        <w:t>Transformação digital e IA para empresas. Orientamos, implementamos junto, capacitamos e acompanhamos a evolução da operação, conectando prioridades empresariais a processos digitais, tecnologia, dados, automação e IA.</w:t>
      </w:r>
    </w:p>
    <w:p>
      <w:r>
        <w:t>O cliente compra direção, capacidade de execução e melhoria da operação. A tecnologia faz parte concreta da entrega; sua seleção depende da atividade, das informações disponíveis, do risco e da capacidade de adoção.</w:t>
      </w:r>
    </w:p>
    <w:p>
      <w:pPr>
        <w:pStyle w:val="Heading2"/>
      </w:pPr>
      <w:r>
        <w:t>Perfil de cliente</w:t>
      </w:r>
    </w:p>
    <w:p>
      <w:r>
        <w:t>Atendemos empresas que reconhecem uma prioridade de melhoria e têm liderança e equipe disponíveis para a mudança. A primeira campanha pode focar serviços B2B e uma área específica. A aderência depende do problema, da capacidade de execução e do patrocínio, além do porte.</w:t>
      </w:r>
    </w:p>
    <w:p>
      <w:pPr>
        <w:pStyle w:val="ListBullet"/>
      </w:pPr>
      <w:r>
        <w:t>CRM subutilizado, registros incompletos e oportunidades sem próximo passo.</w:t>
      </w:r>
    </w:p>
    <w:p>
      <w:pPr>
        <w:pStyle w:val="ListBullet"/>
      </w:pPr>
      <w:r>
        <w:t>Prospecção inconsistente e passagens frágeis entre marketing, vendas e atendimento.</w:t>
      </w:r>
    </w:p>
    <w:p>
      <w:pPr>
        <w:pStyle w:val="ListBullet"/>
      </w:pPr>
      <w:r>
        <w:t>Sistemas desconectados, retrabalho e baixa visibilidade dos indicadores.</w:t>
      </w:r>
    </w:p>
    <w:p>
      <w:pPr>
        <w:pStyle w:val="ListBullet"/>
      </w:pPr>
      <w:r>
        <w:t>Interesse em IA sem casos de uso, critérios de qualidade ou orientação comum.</w:t>
      </w:r>
    </w:p>
    <w:p>
      <w:pPr>
        <w:pStyle w:val="Heading2"/>
      </w:pPr>
      <w:r>
        <w:t>Decisores e responsabilidades</w:t>
      </w:r>
    </w:p>
    <w:p>
      <w:r>
        <w:t>Empresários, diretores e responsáveis pela área envolvida conduzem a decisão. Marketing, comercial, atendimento, operações, financeiro ou RH podem patrocinar a iniciativa. Tecnologia e especialistas participam conforme dados, integração e responsabilidade técnica.</w:t>
      </w:r>
    </w:p>
    <w:p>
      <w:pPr>
        <w:pStyle w:val="Heading2"/>
      </w:pPr>
      <w:r>
        <w:t>Limites da promessa</w:t>
      </w:r>
    </w:p>
    <w:p>
      <w:r>
        <w:t>Escopo, prazo, investimento e indicadores são definidos para cada contratação. A Salestrack não promete transformação completa em um prazo universal nem aumento percentual de vendas sem base. Acompanhamento humano contínuo significa cadência e capacidade acordadas, não disponibilidade ilimitada.</w:t>
      </w:r>
    </w:p>
    <w:p>
      <w:pPr>
        <w:pStyle w:val="Heading1"/>
        <w:pageBreakBefore/>
      </w:pPr>
      <w:r>
        <w:t>Arquitetura de serviços e soluções</w:t>
      </w:r>
    </w:p>
    <w:p>
      <w:r>
        <w:t>Uma marca, diferentes formas de contratação. Cada modalidade responde a uma necessidade reconhecível e tem entregas e limites próprios.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240"/>
        <w:gridCol w:w="6754"/>
      </w:tblGrid>
      <w:tr>
        <w:trPr>
          <w:cantSplit/>
          <w:tblHeader/>
        </w:trPr>
        <w:tc>
          <w:tcPr>
            <w:tcW w:type="dxa" w:w="3240"/>
            <w:vAlign w:val="center"/>
            <w:shd w:fill="10233D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/>
                <w:color w:val="FFFFFF"/>
                <w:sz w:val="20"/>
              </w:rPr>
              <w:t>Modalidade</w:t>
            </w:r>
          </w:p>
        </w:tc>
        <w:tc>
          <w:tcPr>
            <w:tcW w:type="dxa" w:w="6754"/>
            <w:vAlign w:val="center"/>
            <w:shd w:fill="10233D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/>
                <w:color w:val="FFFFFF"/>
                <w:sz w:val="20"/>
              </w:rPr>
              <w:t>Objetivo e entrega central</w:t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Diagnóstico e Roadmap</w:t>
            </w:r>
          </w:p>
        </w:tc>
        <w:tc>
          <w:tcPr>
            <w:tcW w:type="dxa" w:w="6754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Analisar a operação, identificar gargalos e priorizar o plano de transformação.</w:t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Consultoria e Implementação Guiada</w:t>
            </w:r>
          </w:p>
        </w:tc>
        <w:tc>
          <w:tcPr>
            <w:tcW w:type="dxa" w:w="6754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Conduzir um projeto delimitado, com processos, tecnologias e entregáveis acordados.</w:t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Acompanhamento Contínuo</w:t>
            </w:r>
          </w:p>
        </w:tc>
        <w:tc>
          <w:tcPr>
            <w:tcW w:type="dxa" w:w="6754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Revisar o plano operacional e as entregas, orientar a equipe e acompanhar indicadores em ciclos recorrentes.</w:t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Mentoria</w:t>
            </w:r>
          </w:p>
        </w:tc>
        <w:tc>
          <w:tcPr>
            <w:tcW w:type="dxa" w:w="6754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Orientar decisões e desenvolver o líder, que conduz a execução com sua equipe.</w:t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Treinamentos e Educação Corporativa</w:t>
            </w:r>
          </w:p>
        </w:tc>
        <w:tc>
          <w:tcPr>
            <w:tcW w:type="dxa" w:w="6754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Desenvolver competências por meio de conteúdo contextualizado, prática e avaliação.</w:t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Palestras</w:t>
            </w:r>
          </w:p>
        </w:tc>
        <w:tc>
          <w:tcPr>
            <w:tcW w:type="dxa" w:w="6754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Criar entendimento comum e mobilizar o público para um tema ou mudança.</w:t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Workshops</w:t>
            </w:r>
          </w:p>
        </w:tc>
        <w:tc>
          <w:tcPr>
            <w:tcW w:type="dxa" w:w="6754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Construir uma saída concreta com o grupo, como mapa, canvas, roteiro ou plano de aplicação.</w:t>
            </w:r>
          </w:p>
        </w:tc>
      </w:tr>
    </w:tbl>
    <w:p/>
    <w:p>
      <w:pPr>
        <w:pStyle w:val="Heading2"/>
      </w:pPr>
      <w:r>
        <w:t>Capacidades aplicadas dentro das contratações</w:t>
      </w:r>
    </w:p>
    <w:p>
      <w:r>
        <w:t>Automação, IA aplicada, inteligência, playbooks e capacitação são capacidades transversais. CRM, prospecção e processo comercial compõem a frente de vendas. As capacidades podem apoiar diferentes áreas, conforme a necessidade e a especialização exigida.</w:t>
      </w:r>
    </w:p>
    <w:p>
      <w:pPr>
        <w:pStyle w:val="Heading2"/>
      </w:pPr>
      <w:r>
        <w:t>Regra de entrada</w:t>
      </w:r>
    </w:p>
    <w:p>
      <w:r>
        <w:t>Uma conversa ou briefing confirma o contexto e a modalidade adequada. Projetos complexos podem exigir diagnóstico aprofundado. Uma palestra, treinamento ou mentoria não exige automaticamente um diagnóstico completo pago.</w:t>
      </w:r>
    </w:p>
    <w:p>
      <w:pPr>
        <w:pStyle w:val="Heading1"/>
        <w:pageBreakBefore/>
      </w:pPr>
      <w:r>
        <w:t>Acompanhamento contínuo com consultor</w:t>
      </w:r>
    </w:p>
    <w:p>
      <w:r>
        <w:t>Esta modalidade atende empresas que têm uma equipe para executar e querem orientação, revisão e continuidade na evolução da operação. Pode ser contratada diretamente após avaliação inicial ou como continuidade opcional de um projeto.</w:t>
      </w:r>
    </w:p>
    <w:p>
      <w:pPr>
        <w:pStyle w:val="Heading2"/>
      </w:pPr>
      <w:r>
        <w:t>Papel do consultor</w:t>
      </w:r>
    </w:p>
    <w:p>
      <w:r>
        <w:t>O consultor conduz encontros, ajuda a priorizar melhorias, revisa os itens contratados, analisa indicadores e apoia a resolução de obstáculos. IA e automações podem preparar informações; a responsabilidade pelas recomendações relevantes permanece humana.</w:t>
      </w:r>
    </w:p>
    <w:p>
      <w:pPr>
        <w:pStyle w:val="Heading2"/>
      </w:pPr>
      <w:r>
        <w:t>Papel do cliente</w:t>
      </w:r>
    </w:p>
    <w:p>
      <w:r>
        <w:t>O cliente mobiliza os responsáveis, executa suas atividades, fornece informações autorizadas, registra evidências e aprova as decisões. O plano compartilhado deixa visíveis prioridades, responsáveis, prazos e critérios de conclusão.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240"/>
        <w:gridCol w:w="6754"/>
      </w:tblGrid>
      <w:tr>
        <w:trPr>
          <w:cantSplit/>
          <w:tblHeader/>
        </w:trPr>
        <w:tc>
          <w:tcPr>
            <w:tcW w:type="dxa" w:w="3240"/>
            <w:vAlign w:val="center"/>
            <w:shd w:fill="10233D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/>
                <w:color w:val="FFFFFF"/>
                <w:sz w:val="20"/>
              </w:rPr>
              <w:t>Meio de acompanhamento</w:t>
            </w:r>
          </w:p>
        </w:tc>
        <w:tc>
          <w:tcPr>
            <w:tcW w:type="dxa" w:w="6754"/>
            <w:vAlign w:val="center"/>
            <w:shd w:fill="10233D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/>
                <w:color w:val="FFFFFF"/>
                <w:sz w:val="20"/>
              </w:rPr>
              <w:t>Finalidade</w:t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Encontros com consultor</w:t>
            </w:r>
          </w:p>
        </w:tc>
        <w:tc>
          <w:tcPr>
            <w:tcW w:type="dxa" w:w="6754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Tomar decisões, revisar entregas e trabalhar obstáculos.</w:t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Ambiente digital acordado</w:t>
            </w:r>
          </w:p>
        </w:tc>
        <w:tc>
          <w:tcPr>
            <w:tcW w:type="dxa" w:w="6754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Organizar plano, materiais, entregáveis e registros.</w:t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WhatsApp e e-mail</w:t>
            </w:r>
          </w:p>
        </w:tc>
        <w:tc>
          <w:tcPr>
            <w:tcW w:type="dxa" w:w="6754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Orientar e comunicar entre encontros dentro dos limites contratados.</w:t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IA de apoio quando incluída</w:t>
            </w:r>
          </w:p>
        </w:tc>
        <w:tc>
          <w:tcPr>
            <w:tcW w:type="dxa" w:w="6754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Localizar conteúdo autorizado e preparar informações para revisão.</w:t>
            </w:r>
          </w:p>
        </w:tc>
      </w:tr>
    </w:tbl>
    <w:p/>
    <w:p>
      <w:pPr>
        <w:pStyle w:val="Heading2"/>
      </w:pPr>
      <w:r>
        <w:t>Escopo e disponibilidade</w:t>
      </w:r>
    </w:p>
    <w:p>
      <w:r>
        <w:t>A proposta define vigência, canais, horários, prazo de resposta, número de encontros, revisões e capacidade de implementação. Portal próprio, aplicativo, integrações e comunidade exigem definição de disponibilidade, acessos e escopo; não são inclusões automáticas.</w:t>
      </w:r>
    </w:p>
    <w:p>
      <w:pPr>
        <w:pStyle w:val="Heading2"/>
      </w:pPr>
      <w:r>
        <w:t>Diferença para mentoria</w:t>
      </w:r>
    </w:p>
    <w:p>
      <w:r>
        <w:t>A mentoria concentra-se nas decisões e no desenvolvimento do líder. O acompanhamento contínuo abrange também o plano operacional e a revisão das entregas acordadas. Projetos adicionais são avaliados e contratados separadamente.</w:t>
      </w:r>
    </w:p>
    <w:p>
      <w:pPr>
        <w:pStyle w:val="Heading1"/>
        <w:pageBreakBefore/>
      </w:pPr>
      <w:r>
        <w:t>Tecnologia IA e método de trabalho</w:t>
      </w:r>
    </w:p>
    <w:p>
      <w:r>
        <w:t>Tecnologia, digital e IA são capacidades de entrega, não apenas atributos de comunicação. Cada aplicação precisa responder a uma atividade real, utilizar informações autorizadas e demonstrar qualidade suficiente para o uso.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096"/>
        <w:gridCol w:w="6898"/>
      </w:tblGrid>
      <w:tr>
        <w:trPr>
          <w:cantSplit/>
          <w:tblHeader/>
        </w:trPr>
        <w:tc>
          <w:tcPr>
            <w:tcW w:type="dxa" w:w="3096"/>
            <w:vAlign w:val="center"/>
            <w:shd w:fill="10233D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/>
                <w:color w:val="FFFFFF"/>
                <w:sz w:val="20"/>
              </w:rPr>
              <w:t>Aplicação ilustrativa</w:t>
            </w:r>
          </w:p>
        </w:tc>
        <w:tc>
          <w:tcPr>
            <w:tcW w:type="dxa" w:w="6898"/>
            <w:vAlign w:val="center"/>
            <w:shd w:fill="10233D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/>
                <w:color w:val="FFFFFF"/>
                <w:sz w:val="20"/>
              </w:rPr>
              <w:t>Como funciona e como validar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Marketing e comercial</w:t>
            </w:r>
          </w:p>
        </w:tc>
        <w:tc>
          <w:tcPr>
            <w:tcW w:type="dxa" w:w="6898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Organizar contexto de contas e reuniões. Conferir fontes e relevância antes de utilizar.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Atendimento e continuidade</w:t>
            </w:r>
          </w:p>
        </w:tc>
        <w:tc>
          <w:tcPr>
            <w:tcW w:type="dxa" w:w="6898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Organizar solicitações, histórico e respostas assistidas. Medir tempo, resolução e revisão.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Operações e financeiro</w:t>
            </w:r>
          </w:p>
        </w:tc>
        <w:tc>
          <w:tcPr>
            <w:tcW w:type="dxa" w:w="6898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Conferir documentos e preparar análises. Exceções e decisões exigem aprovação dos responsáveis.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Pessoas e RH</w:t>
            </w:r>
          </w:p>
        </w:tc>
        <w:tc>
          <w:tcPr>
            <w:tcW w:type="dxa" w:w="6898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Apoiar integração, consulta a políticas e capacitação. Proteger dados e revisar as orientações.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Gestão e indicadores</w:t>
            </w:r>
          </w:p>
        </w:tc>
        <w:tc>
          <w:tcPr>
            <w:tcW w:type="dxa" w:w="6898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Sintetizar indicadores e investigar desvios. Verificar dados, hipóteses e ações resultantes.</w:t>
            </w:r>
          </w:p>
        </w:tc>
      </w:tr>
    </w:tbl>
    <w:p/>
    <w:p>
      <w:pPr>
        <w:pStyle w:val="Heading2"/>
      </w:pPr>
      <w:r>
        <w:t>Método ROTA</w:t>
      </w:r>
    </w:p>
    <w:p>
      <w:pPr>
        <w:pStyle w:val="ListBullet"/>
      </w:pPr>
      <w:r>
        <w:t>Resultado: definir objetivo, indicador de partida e critério de sucesso.</w:t>
      </w:r>
    </w:p>
    <w:p>
      <w:pPr>
        <w:pStyle w:val="ListBullet"/>
      </w:pPr>
      <w:r>
        <w:t>Operação: compreender fluxo, pessoas, responsabilidades, gargalos e dependências.</w:t>
      </w:r>
    </w:p>
    <w:p>
      <w:pPr>
        <w:pStyle w:val="ListBullet"/>
      </w:pPr>
      <w:r>
        <w:t>Tecnologia: organizar sistemas, dados, integrações e regras que sustentam a mudança.</w:t>
      </w:r>
    </w:p>
    <w:p>
      <w:pPr>
        <w:pStyle w:val="ListBullet"/>
      </w:pPr>
      <w:r>
        <w:t>Aceleração: testar aplicações, capacitar, medir e ajustar com responsabilidade.</w:t>
      </w:r>
    </w:p>
    <w:p>
      <w:pPr>
        <w:pStyle w:val="Heading2"/>
      </w:pPr>
      <w:r>
        <w:t>Critérios de aceite e continuidade</w:t>
      </w:r>
    </w:p>
    <w:p>
      <w:r>
        <w:t>O aceite combina a entrega acordada, a revisão com os responsáveis e os testes aplicáveis. Indicadores de adoção, qualidade, tempo e desempenho são selecionados conforme a necessidade. A evolução após uma entrega pode ser conduzida pelo cliente ou apoiada por nova contratação.</w:t>
      </w:r>
    </w:p>
    <w:p>
      <w:pPr>
        <w:pStyle w:val="Heading1"/>
        <w:pageBreakBefore/>
      </w:pPr>
      <w:r>
        <w:t>Comunicação e aplicação no website</w:t>
      </w:r>
    </w:p>
    <w:p>
      <w:pPr>
        <w:pStyle w:val="Heading2"/>
      </w:pPr>
      <w:r>
        <w:t>Mensagem principal</w:t>
      </w:r>
    </w:p>
    <w:p>
      <w:pPr>
        <w:spacing w:before="240" w:after="280"/>
      </w:pPr>
      <w:r>
        <w:rPr>
          <w:rFonts w:ascii="Bitstream Charter" w:hAnsi="Bitstream Charter"/>
          <w:b/>
          <w:i/>
          <w:color w:val="5A3BE7"/>
          <w:sz w:val="32"/>
        </w:rPr>
        <w:t>Ajudamos sua empresa a gerar mais resultados com transformação digital e IA.</w:t>
      </w:r>
    </w:p>
    <w:p>
      <w:r>
        <w:t>Texto de apoio: Consultoria, implementação guiada, mentoria e capacitação para transformar os processos da empresa. Acompanhamento contínuo como opção, com consultor responsável e canais digitais definidos para cada cliente.</w:t>
      </w:r>
    </w:p>
    <w:p>
      <w:pPr>
        <w:pStyle w:val="Heading2"/>
      </w:pPr>
      <w:r>
        <w:t>Organização da navegação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880"/>
        <w:gridCol w:w="7114"/>
      </w:tblGrid>
      <w:tr>
        <w:trPr>
          <w:cantSplit/>
          <w:tblHeader/>
        </w:trPr>
        <w:tc>
          <w:tcPr>
            <w:tcW w:type="dxa" w:w="2880"/>
            <w:vAlign w:val="center"/>
            <w:shd w:fill="10233D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/>
                <w:color w:val="FFFFFF"/>
                <w:sz w:val="20"/>
              </w:rPr>
              <w:t>Área</w:t>
            </w:r>
          </w:p>
        </w:tc>
        <w:tc>
          <w:tcPr>
            <w:tcW w:type="dxa" w:w="7114"/>
            <w:vAlign w:val="center"/>
            <w:shd w:fill="10233D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/>
                <w:color w:val="FFFFFF"/>
                <w:sz w:val="20"/>
              </w:rPr>
              <w:t>Páginas e finalidade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Serviços</w:t>
            </w:r>
          </w:p>
        </w:tc>
        <w:tc>
          <w:tcPr>
            <w:tcW w:type="dxa" w:w="7114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Visão geral das contratações e páginas de consultoria, acompanhamento, mentoria, treinamentos, palestras e workshops.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Soluções e método</w:t>
            </w:r>
          </w:p>
        </w:tc>
        <w:tc>
          <w:tcPr>
            <w:tcW w:type="dxa" w:w="7114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Oito capacidades, diagnóstico, ROTA e tecnologia e IA.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Conhecimento</w:t>
            </w:r>
          </w:p>
        </w:tc>
        <w:tc>
          <w:tcPr>
            <w:tcW w:type="dxa" w:w="7114"/>
            <w:vAlign w:val="center"/>
            <w:shd w:fill="FFFFFF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Materiais, instrumentos editáveis e ferramentas de maturidade, eficiência e priorização.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Empresa e relacionamento</w:t>
            </w:r>
          </w:p>
        </w:tc>
        <w:tc>
          <w:tcPr>
            <w:tcW w:type="dxa" w:w="7114"/>
            <w:vAlign w:val="center"/>
            <w:shd w:fill="EEF4FA"/>
            <w:tcMar>
              <w:top w:w="125" w:type="dxa"/>
              <w:bottom w:w="125" w:type="dxa"/>
              <w:start w:w="125" w:type="dxa"/>
              <w:end w:w="125" w:type="dxa"/>
            </w:tcMar>
          </w:tcPr>
          <w:p>
            <w:pPr>
              <w:spacing w:after="0" w:line="264" w:lineRule="auto"/>
            </w:pPr>
            <w:r>
              <w:rPr>
                <w:rFonts w:ascii="Montserrat" w:hAnsi="Montserrat"/>
                <w:b w:val="0"/>
                <w:color w:val="405874"/>
                <w:sz w:val="20"/>
              </w:rPr>
              <w:t>Sobre, parceiros, contato e informações de privacidade.</w:t>
            </w:r>
          </w:p>
        </w:tc>
      </w:tr>
    </w:tbl>
    <w:p/>
    <w:p>
      <w:pPr>
        <w:pStyle w:val="Heading2"/>
      </w:pPr>
      <w:r>
        <w:t>Regras de comunicação</w:t>
      </w:r>
    </w:p>
    <w:p>
      <w:r>
        <w:t>Apresentar problema, entrega, participação do consultor e próximo passo em cada página. Diferenciar experiência do fundador de clientes da Salestrack. Publicar marcas, depoimentos e resultados somente com evidência e autorização. Exemplos ilustrativos não representam casos realizados.</w:t>
      </w:r>
    </w:p>
    <w:p>
      <w:pPr>
        <w:pStyle w:val="Heading2"/>
      </w:pPr>
      <w:r>
        <w:t>Limites da experiência digital atual</w:t>
      </w:r>
    </w:p>
    <w:p>
      <w:r>
        <w:t>O website reúne serviços, áreas de aplicação, ferramentas e materiais editáveis. O formulário servidor está preparado para registro de contatos, HubSpot e notificação por e-mail. A operação depende da configuração e dos testes das integrações. WhatsApp possui acesso direto. Publicação e ativação devem ser confirmadas separadamente.</w:t>
      </w:r>
    </w:p>
    <w:p>
      <w:r>
        <w:t>Contato: andre.kachan@salestrack.com.br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613" w:right="1123" w:bottom="1080" w:left="1123" w:header="403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  <w:tblBorders>
        <w:top w:val="nil" w:sz="6" w:color="D9E2EC"/>
        <w:left w:val="nil" w:sz="6" w:color="D9E2EC"/>
        <w:bottom w:val="nil" w:sz="6" w:color="D9E2EC"/>
        <w:right w:val="nil" w:sz="6" w:color="D9E2EC"/>
        <w:insideH w:val="nil" w:sz="6" w:color="D9E2EC"/>
        <w:insideV w:val="nil" w:sz="6" w:color="D9E2EC"/>
        <w:bottom w:val="single" w:sz="5" w:color="D9E2EC"/>
      </w:tblBorders>
    </w:tblPr>
    <w:tblGrid>
      <w:gridCol w:w="3168"/>
      <w:gridCol w:w="3658"/>
      <w:gridCol w:w="3168"/>
    </w:tblGrid>
    <w:tr>
      <w:tc>
        <w:tcPr>
          <w:tcW w:type="dxa" w:w="3331"/>
          <w:tcMar>
            <w:top w:w="85" w:type="dxa"/>
            <w:start w:w="0" w:type="dxa"/>
            <w:bottom w:w="20" w:type="dxa"/>
            <w:end w:w="0" w:type="dxa"/>
          </w:tcMar>
        </w:tcPr>
        <w:p>
          <w:pPr>
            <w:jc w:val="left"/>
          </w:pPr>
          <w:r>
            <w:rPr>
              <w:rFonts w:ascii="Montserrat" w:hAnsi="Montserrat"/>
              <w:b/>
              <w:color w:val="405874"/>
              <w:sz w:val="16"/>
            </w:rPr>
            <w:t>Salestrack</w:t>
          </w:r>
        </w:p>
      </w:tc>
      <w:tc>
        <w:tcPr>
          <w:tcW w:type="dxa" w:w="3331"/>
          <w:tcMar>
            <w:top w:w="85" w:type="dxa"/>
            <w:start w:w="0" w:type="dxa"/>
            <w:bottom w:w="20" w:type="dxa"/>
            <w:end w:w="0" w:type="dxa"/>
          </w:tcMar>
        </w:tcPr>
        <w:p>
          <w:pPr>
            <w:jc w:val="center"/>
          </w:pPr>
          <w:r>
            <w:rPr>
              <w:rFonts w:ascii="Montserrat" w:hAnsi="Montserrat"/>
              <w:b w:val="0"/>
              <w:color w:val="405874"/>
              <w:sz w:val="16"/>
            </w:rPr>
            <w:t>salestrack.com.br</w:t>
          </w:r>
        </w:p>
      </w:tc>
      <w:tc>
        <w:tcPr>
          <w:tcW w:type="dxa" w:w="3331"/>
          <w:tcMar>
            <w:top w:w="85" w:type="dxa"/>
            <w:start w:w="0" w:type="dxa"/>
            <w:bottom w:w="20" w:type="dxa"/>
            <w:end w:w="0" w:type="dxa"/>
          </w:tcMar>
        </w:tcPr>
        <w:p>
          <w:pPr>
            <w:jc w:val="right"/>
          </w:pPr>
          <w:r>
            <w:rPr>
              <w:rFonts w:ascii="Montserrat" w:hAnsi="Montserrat"/>
              <w:color w:val="405874"/>
              <w:sz w:val="16"/>
            </w:rPr>
            <w:t xml:space="preserve">Página </w:t>
          </w:r>
          <w:r>
            <w:rPr>
              <w:rFonts w:ascii="Montserrat" w:hAnsi="Montserrat"/>
              <w:color w:val="405874"/>
              <w:sz w:val="16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</w:pPr>
    <w:r/>
  </w:p>
  <w:tbl>
    <w:tblPr>
      <w:tblW w:type="auto" w:w="0"/>
      <w:tblLayout w:type="fixed"/>
      <w:tblLook w:firstColumn="1" w:firstRow="1" w:lastColumn="0" w:lastRow="0" w:noHBand="0" w:noVBand="1" w:val="04A0"/>
      <w:tblBorders>
        <w:top w:val="nil" w:sz="6" w:color="D9E2EC"/>
        <w:left w:val="nil" w:sz="6" w:color="D9E2EC"/>
        <w:bottom w:val="nil" w:sz="6" w:color="D9E2EC"/>
        <w:right w:val="nil" w:sz="6" w:color="D9E2EC"/>
        <w:insideH w:val="nil" w:sz="6" w:color="D9E2EC"/>
        <w:insideV w:val="nil" w:sz="6" w:color="D9E2EC"/>
        <w:bottom w:val="single" w:sz="5" w:color="D9E2EC"/>
      </w:tblBorders>
    </w:tblPr>
    <w:tblGrid>
      <w:gridCol w:w="2232"/>
      <w:gridCol w:w="691"/>
      <w:gridCol w:w="7070"/>
    </w:tblGrid>
    <w:tr>
      <w:tc>
        <w:tcPr>
          <w:tcW w:type="dxa" w:w="3331"/>
          <w:tcMar>
            <w:top w:w="70" w:type="dxa"/>
            <w:start w:w="0" w:type="dxa"/>
            <w:bottom w:w="90" w:type="dxa"/>
            <w:end w:w="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1170432" cy="21956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alestrack-logo-sem-ai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0432" cy="2195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331"/>
          <w:tcMar>
            <w:top w:w="70" w:type="dxa"/>
            <w:start w:w="0" w:type="dxa"/>
            <w:bottom w:w="90" w:type="dxa"/>
            <w:end w:w="0" w:type="dxa"/>
          </w:tcMar>
        </w:tcPr>
        <w:p>
          <w:r/>
        </w:p>
      </w:tc>
      <w:tc>
        <w:tcPr>
          <w:tcW w:type="dxa" w:w="3331"/>
          <w:tcMar>
            <w:top w:w="70" w:type="dxa"/>
            <w:start w:w="0" w:type="dxa"/>
            <w:bottom w:w="90" w:type="dxa"/>
            <w:end w:w="0" w:type="dxa"/>
          </w:tcMar>
        </w:tcPr>
        <w:p>
          <w:pPr>
            <w:jc w:val="right"/>
          </w:pPr>
          <w:r>
            <w:rPr>
              <w:rFonts w:ascii="Montserrat" w:hAnsi="Montserrat"/>
              <w:b/>
              <w:color w:val="405874"/>
              <w:sz w:val="14"/>
            </w:rPr>
            <w:t>POSICIONAMENTO   |   DIRETRIZES DA MARCA   |   2026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Montserrat" w:hAnsi="Montserrat"/>
      <w:color w:val="40587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cstheme="majorBidi" w:ascii="Montserrat" w:hAnsi="Montserrat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cstheme="majorBidi" w:ascii="Montserrat" w:hAnsi="Montserrat"/>
      <w:b/>
      <w:bCs/>
      <w:color w:val="000000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20"/>
      <w:outlineLvl w:val="2"/>
    </w:pPr>
    <w:rPr>
      <w:rFonts w:cstheme="majorBidi" w:ascii="Montserrat" w:hAnsi="Montserrat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cstheme="majorBidi" w:ascii="Montserrat" w:hAnsi="Montserrat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Posicionamento Oficial | Transformação Digital e IA</dc:title>
  <dc:subject>Transformação comercial e formas de contratação</dc:subject>
  <dc:creator>Salestrack</dc:creator>
  <cp:keywords/>
  <dc:description>Revisão de posicionamento em 24/09/2026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